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A0BB0" w14:textId="77777777" w:rsidR="007F7D51" w:rsidRDefault="007F7D51" w:rsidP="007F7D51"/>
    <w:p w14:paraId="078F25C0" w14:textId="77777777" w:rsidR="007F7D51" w:rsidRDefault="007F7D51" w:rsidP="007F7D51">
      <w:pPr>
        <w:jc w:val="center"/>
        <w:rPr>
          <w:b/>
          <w:bCs/>
          <w:sz w:val="28"/>
          <w:szCs w:val="28"/>
        </w:rPr>
      </w:pPr>
      <w:r w:rsidRPr="00F011F7">
        <w:rPr>
          <w:b/>
          <w:bCs/>
          <w:sz w:val="28"/>
          <w:szCs w:val="28"/>
        </w:rPr>
        <w:t>Lernaufgabe für die praktische Ausbildung zur Pflegefachfrau / zum Pflegefachmann</w:t>
      </w:r>
    </w:p>
    <w:tbl>
      <w:tblPr>
        <w:tblStyle w:val="Tabellenraster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D51" w14:paraId="7CE40A6F" w14:textId="77777777" w:rsidTr="00A87554">
        <w:tc>
          <w:tcPr>
            <w:tcW w:w="9062" w:type="dxa"/>
          </w:tcPr>
          <w:p w14:paraId="19A7DCD1" w14:textId="77777777" w:rsidR="007F7D51" w:rsidRPr="00027685" w:rsidRDefault="007F7D51" w:rsidP="00A87554">
            <w:pPr>
              <w:rPr>
                <w:b/>
                <w:bCs/>
              </w:rPr>
            </w:pPr>
            <w:r w:rsidRPr="00027685">
              <w:rPr>
                <w:b/>
                <w:bCs/>
              </w:rPr>
              <w:t>Name der Schülerin / des Schülers:</w:t>
            </w:r>
          </w:p>
          <w:p w14:paraId="57CEFBE4" w14:textId="77777777" w:rsidR="007F7D51" w:rsidRDefault="007F7D51" w:rsidP="00A87554">
            <w:pPr>
              <w:rPr>
                <w:b/>
                <w:bCs/>
              </w:rPr>
            </w:pPr>
          </w:p>
          <w:p w14:paraId="3AA23BFC" w14:textId="77777777" w:rsidR="007F7D51" w:rsidRPr="00027685" w:rsidRDefault="007F7D51" w:rsidP="00A87554">
            <w:pPr>
              <w:rPr>
                <w:b/>
                <w:bCs/>
              </w:rPr>
            </w:pPr>
          </w:p>
        </w:tc>
      </w:tr>
      <w:tr w:rsidR="007F7D51" w14:paraId="310860EE" w14:textId="77777777" w:rsidTr="00A87554">
        <w:tc>
          <w:tcPr>
            <w:tcW w:w="9062" w:type="dxa"/>
          </w:tcPr>
          <w:p w14:paraId="53714700" w14:textId="77777777" w:rsidR="007F7D51" w:rsidRPr="00027685" w:rsidRDefault="007F7D51" w:rsidP="00A87554">
            <w:pPr>
              <w:rPr>
                <w:b/>
                <w:bCs/>
              </w:rPr>
            </w:pPr>
            <w:r w:rsidRPr="00027685">
              <w:rPr>
                <w:b/>
                <w:bCs/>
              </w:rPr>
              <w:t xml:space="preserve">Einsatzzeitraum: </w:t>
            </w:r>
          </w:p>
          <w:p w14:paraId="3BBD9C73" w14:textId="77777777" w:rsidR="007F7D51" w:rsidRDefault="007F7D51" w:rsidP="00A87554">
            <w:pPr>
              <w:rPr>
                <w:b/>
                <w:bCs/>
              </w:rPr>
            </w:pPr>
          </w:p>
          <w:p w14:paraId="7427AC42" w14:textId="77777777" w:rsidR="007F7D51" w:rsidRPr="00027685" w:rsidRDefault="007F7D51" w:rsidP="00A87554">
            <w:pPr>
              <w:rPr>
                <w:b/>
                <w:bCs/>
              </w:rPr>
            </w:pPr>
          </w:p>
        </w:tc>
      </w:tr>
      <w:tr w:rsidR="007F7D51" w14:paraId="50A51BE5" w14:textId="77777777" w:rsidTr="00A87554">
        <w:tc>
          <w:tcPr>
            <w:tcW w:w="9062" w:type="dxa"/>
          </w:tcPr>
          <w:p w14:paraId="297B552B" w14:textId="77777777" w:rsidR="007F7D51" w:rsidRPr="00027685" w:rsidRDefault="007F7D51" w:rsidP="00A87554">
            <w:pPr>
              <w:rPr>
                <w:b/>
                <w:bCs/>
              </w:rPr>
            </w:pPr>
            <w:r w:rsidRPr="00027685">
              <w:rPr>
                <w:b/>
                <w:bCs/>
              </w:rPr>
              <w:t>Einsatzort (z.B. stationär Langzeit / stationär akut / ambulant o.ä.):</w:t>
            </w:r>
          </w:p>
          <w:p w14:paraId="7B7F09C4" w14:textId="77777777" w:rsidR="007F7D51" w:rsidRDefault="007F7D51" w:rsidP="00A87554">
            <w:pPr>
              <w:rPr>
                <w:b/>
                <w:bCs/>
              </w:rPr>
            </w:pPr>
          </w:p>
          <w:p w14:paraId="53A6986B" w14:textId="77777777" w:rsidR="007F7D51" w:rsidRPr="00027685" w:rsidRDefault="007F7D51" w:rsidP="00A87554">
            <w:pPr>
              <w:rPr>
                <w:b/>
                <w:bCs/>
              </w:rPr>
            </w:pPr>
          </w:p>
          <w:p w14:paraId="39321039" w14:textId="77777777" w:rsidR="007F7D51" w:rsidRPr="00027685" w:rsidRDefault="007F7D51" w:rsidP="00A87554">
            <w:pPr>
              <w:rPr>
                <w:b/>
                <w:bCs/>
              </w:rPr>
            </w:pPr>
          </w:p>
        </w:tc>
      </w:tr>
      <w:tr w:rsidR="007F7D51" w14:paraId="6223C098" w14:textId="77777777" w:rsidTr="00A87554">
        <w:tc>
          <w:tcPr>
            <w:tcW w:w="9062" w:type="dxa"/>
          </w:tcPr>
          <w:p w14:paraId="692BFB14" w14:textId="77777777" w:rsidR="007F7D51" w:rsidRDefault="007F7D51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Datum der Lernaufgabe (Zeitraum festlegen):</w:t>
            </w:r>
          </w:p>
          <w:p w14:paraId="574C14C4" w14:textId="77777777" w:rsidR="007F7D51" w:rsidRDefault="007F7D51" w:rsidP="00A87554">
            <w:pPr>
              <w:rPr>
                <w:b/>
                <w:bCs/>
              </w:rPr>
            </w:pPr>
          </w:p>
          <w:p w14:paraId="1CC58FA0" w14:textId="77777777" w:rsidR="007F7D51" w:rsidRPr="00027685" w:rsidRDefault="007F7D51" w:rsidP="00A87554">
            <w:pPr>
              <w:rPr>
                <w:b/>
                <w:bCs/>
              </w:rPr>
            </w:pPr>
          </w:p>
        </w:tc>
      </w:tr>
      <w:tr w:rsidR="007F7D51" w14:paraId="738F9D0F" w14:textId="77777777" w:rsidTr="00A87554">
        <w:tc>
          <w:tcPr>
            <w:tcW w:w="9062" w:type="dxa"/>
          </w:tcPr>
          <w:p w14:paraId="10A06E66" w14:textId="77777777" w:rsidR="007F7D51" w:rsidRDefault="007F7D51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Datum der Reflexion / Nachbesprechung:</w:t>
            </w:r>
          </w:p>
          <w:p w14:paraId="75B7F719" w14:textId="77777777" w:rsidR="007F7D51" w:rsidRDefault="007F7D51" w:rsidP="00A87554">
            <w:pPr>
              <w:rPr>
                <w:b/>
                <w:bCs/>
              </w:rPr>
            </w:pPr>
          </w:p>
          <w:p w14:paraId="2D8F7531" w14:textId="77777777" w:rsidR="007F7D51" w:rsidRDefault="007F7D51" w:rsidP="00A87554">
            <w:pPr>
              <w:rPr>
                <w:b/>
                <w:bCs/>
              </w:rPr>
            </w:pPr>
          </w:p>
        </w:tc>
      </w:tr>
      <w:tr w:rsidR="007F7D51" w14:paraId="379FAC1A" w14:textId="77777777" w:rsidTr="00A87554">
        <w:tc>
          <w:tcPr>
            <w:tcW w:w="9062" w:type="dxa"/>
            <w:shd w:val="clear" w:color="auto" w:fill="D9D9D9" w:themeFill="background1" w:themeFillShade="D9"/>
          </w:tcPr>
          <w:p w14:paraId="6789347E" w14:textId="498B0C78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  <w:r w:rsidRPr="001450C1">
              <w:rPr>
                <w:b/>
                <w:bCs/>
                <w:sz w:val="28"/>
                <w:szCs w:val="28"/>
              </w:rPr>
              <w:t>Thema der Aufgabe:</w:t>
            </w:r>
          </w:p>
          <w:p w14:paraId="7839A4C6" w14:textId="5B01BF3A" w:rsidR="007F7D51" w:rsidRDefault="00AA321A" w:rsidP="000177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Erstelle</w:t>
            </w:r>
            <w:r w:rsidR="007D0124">
              <w:rPr>
                <w:b/>
                <w:bCs/>
                <w:sz w:val="28"/>
                <w:szCs w:val="28"/>
              </w:rPr>
              <w:t>n Sie</w:t>
            </w:r>
            <w:r>
              <w:rPr>
                <w:b/>
                <w:bCs/>
                <w:sz w:val="28"/>
                <w:szCs w:val="28"/>
              </w:rPr>
              <w:t xml:space="preserve"> eine „Probe-SIS“ von</w:t>
            </w:r>
            <w:r w:rsidR="007D0124">
              <w:rPr>
                <w:b/>
                <w:bCs/>
                <w:sz w:val="28"/>
                <w:szCs w:val="28"/>
              </w:rPr>
              <w:t xml:space="preserve"> einem Ihrer Kollegen aus </w:t>
            </w:r>
            <w:r w:rsidR="00DB4368">
              <w:rPr>
                <w:b/>
                <w:bCs/>
                <w:sz w:val="28"/>
                <w:szCs w:val="28"/>
              </w:rPr>
              <w:t xml:space="preserve">Ihrer </w:t>
            </w:r>
            <w:r w:rsidR="007D0124">
              <w:rPr>
                <w:b/>
                <w:bCs/>
                <w:sz w:val="28"/>
                <w:szCs w:val="28"/>
              </w:rPr>
              <w:t xml:space="preserve">Ausbildung oder einem </w:t>
            </w:r>
            <w:r w:rsidR="00DB4368">
              <w:rPr>
                <w:b/>
                <w:bCs/>
                <w:sz w:val="28"/>
                <w:szCs w:val="28"/>
              </w:rPr>
              <w:t xml:space="preserve">Ihrer </w:t>
            </w:r>
            <w:r w:rsidR="007D0124">
              <w:rPr>
                <w:b/>
                <w:bCs/>
                <w:sz w:val="28"/>
                <w:szCs w:val="28"/>
              </w:rPr>
              <w:t>Praxisanleiter</w:t>
            </w:r>
            <w:r w:rsidR="00DB4368">
              <w:rPr>
                <w:b/>
                <w:bCs/>
                <w:sz w:val="28"/>
                <w:szCs w:val="28"/>
              </w:rPr>
              <w:t xml:space="preserve"> aus dem Büro</w:t>
            </w:r>
            <w:r w:rsidR="00017770">
              <w:rPr>
                <w:b/>
                <w:bCs/>
                <w:sz w:val="28"/>
                <w:szCs w:val="28"/>
              </w:rPr>
              <w:t>!</w:t>
            </w:r>
          </w:p>
          <w:p w14:paraId="12E35E27" w14:textId="56CC5730" w:rsidR="00944E22" w:rsidRPr="0001163E" w:rsidRDefault="00944E22" w:rsidP="0001163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7D51" w14:paraId="5AE30C0E" w14:textId="77777777" w:rsidTr="00A87554">
        <w:tc>
          <w:tcPr>
            <w:tcW w:w="9062" w:type="dxa"/>
          </w:tcPr>
          <w:p w14:paraId="039A2230" w14:textId="1807CED2" w:rsidR="007F7D51" w:rsidRDefault="00901E5D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Notwendiges theoretisches Vorwissen - entweder aus dem Unterricht und / oder in Eigenarbeit</w:t>
            </w:r>
            <w:r w:rsidR="007F7D51">
              <w:rPr>
                <w:b/>
                <w:bCs/>
              </w:rPr>
              <w:t>:</w:t>
            </w:r>
          </w:p>
          <w:p w14:paraId="4B1E3C84" w14:textId="29D1916E" w:rsidR="007F7D51" w:rsidRPr="007D0124" w:rsidRDefault="00AA321A" w:rsidP="00A87554">
            <w:r w:rsidRPr="007D0124">
              <w:t xml:space="preserve">-Kenntnis über 6 Themenfelder </w:t>
            </w:r>
            <w:r w:rsidR="001B036B" w:rsidRPr="007D0124">
              <w:t xml:space="preserve">der SIS </w:t>
            </w:r>
            <w:r w:rsidRPr="007D0124">
              <w:t>und ihre Inhalte</w:t>
            </w:r>
          </w:p>
          <w:p w14:paraId="0C593781" w14:textId="431CC1C0" w:rsidR="00AA321A" w:rsidRPr="007D0124" w:rsidRDefault="00AA321A" w:rsidP="00A87554">
            <w:r w:rsidRPr="007D0124">
              <w:t>-Biographie</w:t>
            </w:r>
          </w:p>
          <w:p w14:paraId="4141BC5E" w14:textId="43A20FA7" w:rsidR="00AA321A" w:rsidRPr="007D0124" w:rsidRDefault="00AA321A" w:rsidP="00A87554">
            <w:r w:rsidRPr="007D0124">
              <w:t>-Beobachtungskriterien</w:t>
            </w:r>
          </w:p>
          <w:p w14:paraId="65DFEF0F" w14:textId="4BBB6AC5" w:rsidR="007F7D51" w:rsidRPr="00027685" w:rsidRDefault="007F7D51" w:rsidP="00A87554">
            <w:pPr>
              <w:rPr>
                <w:b/>
                <w:bCs/>
              </w:rPr>
            </w:pPr>
          </w:p>
        </w:tc>
      </w:tr>
      <w:tr w:rsidR="007F7D51" w14:paraId="394DB191" w14:textId="77777777" w:rsidTr="00A87554">
        <w:tc>
          <w:tcPr>
            <w:tcW w:w="9062" w:type="dxa"/>
          </w:tcPr>
          <w:p w14:paraId="2BF4F09C" w14:textId="28223F37" w:rsidR="00F134F1" w:rsidRDefault="007F7D51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Kommenta</w:t>
            </w:r>
            <w:r>
              <w:t>r</w:t>
            </w:r>
            <w:r>
              <w:rPr>
                <w:b/>
                <w:bCs/>
              </w:rPr>
              <w:t>:</w:t>
            </w:r>
          </w:p>
          <w:p w14:paraId="5D576D42" w14:textId="417689DE" w:rsidR="00736D39" w:rsidRDefault="00F134F1" w:rsidP="00AA321A">
            <w:pPr>
              <w:rPr>
                <w:rFonts w:cstheme="minorHAnsi"/>
              </w:rPr>
            </w:pPr>
            <w:r>
              <w:rPr>
                <w:rFonts w:cstheme="minorHAnsi"/>
              </w:rPr>
              <w:t>Die strukturierte Informationssammlung (SIS) ist das erste Element de</w:t>
            </w:r>
            <w:r w:rsidR="00F65347">
              <w:rPr>
                <w:rFonts w:cstheme="minorHAnsi"/>
              </w:rPr>
              <w:t xml:space="preserve">s </w:t>
            </w:r>
            <w:r>
              <w:rPr>
                <w:rFonts w:cstheme="minorHAnsi"/>
              </w:rPr>
              <w:t>Strukturmodells und ein Konzept zum Einstieg in einen individuellen Pflegeprozess</w:t>
            </w:r>
            <w:r w:rsidR="00F65347">
              <w:rPr>
                <w:rFonts w:cstheme="minorHAnsi"/>
              </w:rPr>
              <w:t xml:space="preserve"> und basiert auf Beobachtungen und eventuell Gespr</w:t>
            </w:r>
            <w:r w:rsidR="00E5624E">
              <w:rPr>
                <w:rFonts w:cstheme="minorHAnsi"/>
              </w:rPr>
              <w:t>ä</w:t>
            </w:r>
            <w:r w:rsidR="00F65347">
              <w:rPr>
                <w:rFonts w:cstheme="minorHAnsi"/>
              </w:rPr>
              <w:t>chen. Sie ermöglicht, dass eine konsequent an den individuellen Bedürfnissen der pflegebedürftigen</w:t>
            </w:r>
            <w:r w:rsidR="005C305A">
              <w:rPr>
                <w:rFonts w:cstheme="minorHAnsi"/>
              </w:rPr>
              <w:t xml:space="preserve"> Person</w:t>
            </w:r>
            <w:r w:rsidR="00F65347">
              <w:rPr>
                <w:rFonts w:cstheme="minorHAnsi"/>
              </w:rPr>
              <w:t xml:space="preserve"> orientierte Maßnahmenplanung erfolgen kann. Es können </w:t>
            </w:r>
            <w:r w:rsidR="001B036B">
              <w:rPr>
                <w:rFonts w:cstheme="minorHAnsi"/>
              </w:rPr>
              <w:t xml:space="preserve">dadurch </w:t>
            </w:r>
            <w:r w:rsidR="00F65347">
              <w:rPr>
                <w:rFonts w:cstheme="minorHAnsi"/>
              </w:rPr>
              <w:t xml:space="preserve">ungeahnte Probleme aufgezeigt werden. </w:t>
            </w:r>
            <w:r w:rsidR="00E5624E">
              <w:rPr>
                <w:rFonts w:cstheme="minorHAnsi"/>
              </w:rPr>
              <w:t xml:space="preserve">Die Erstellung einer Sis ist für jedermann möglich- es spielt dabei </w:t>
            </w:r>
            <w:r w:rsidR="001B036B">
              <w:rPr>
                <w:rFonts w:cstheme="minorHAnsi"/>
              </w:rPr>
              <w:t xml:space="preserve">keine </w:t>
            </w:r>
            <w:r w:rsidR="00E5624E">
              <w:rPr>
                <w:rFonts w:cstheme="minorHAnsi"/>
              </w:rPr>
              <w:t xml:space="preserve">Rolle ob jemand alt, krank, pflegebedürftig oder vollkommen uneingeschränkt ist. </w:t>
            </w:r>
          </w:p>
          <w:p w14:paraId="14987F05" w14:textId="75ABDD58" w:rsidR="00F134F1" w:rsidRPr="00B633CF" w:rsidRDefault="00F134F1" w:rsidP="00AA321A">
            <w:pPr>
              <w:rPr>
                <w:rFonts w:cstheme="minorHAnsi"/>
              </w:rPr>
            </w:pPr>
          </w:p>
        </w:tc>
      </w:tr>
      <w:tr w:rsidR="007F7D51" w14:paraId="0751DC32" w14:textId="77777777" w:rsidTr="00A87554">
        <w:tc>
          <w:tcPr>
            <w:tcW w:w="9062" w:type="dxa"/>
          </w:tcPr>
          <w:p w14:paraId="74A1DDD7" w14:textId="751DDAA3" w:rsidR="007F7D51" w:rsidRDefault="007F7D51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Ziele:</w:t>
            </w:r>
          </w:p>
          <w:p w14:paraId="63B89C06" w14:textId="7B93E0DD" w:rsidR="00686AAE" w:rsidRDefault="00F134F1" w:rsidP="00736D39">
            <w:r>
              <w:t>-Sie wissen</w:t>
            </w:r>
            <w:r w:rsidR="005C305A">
              <w:t>,</w:t>
            </w:r>
            <w:r>
              <w:t xml:space="preserve"> welche Informationen </w:t>
            </w:r>
            <w:r w:rsidR="00E5624E">
              <w:t>S</w:t>
            </w:r>
            <w:r>
              <w:t>ie für eine vollständige SIS benötigen</w:t>
            </w:r>
          </w:p>
          <w:p w14:paraId="4805DA98" w14:textId="7326689B" w:rsidR="00E5624E" w:rsidRDefault="00F134F1" w:rsidP="00736D39">
            <w:r>
              <w:t>-Sie können filtern</w:t>
            </w:r>
            <w:r w:rsidR="005C305A">
              <w:t>,</w:t>
            </w:r>
            <w:r>
              <w:t xml:space="preserve"> welche Info</w:t>
            </w:r>
            <w:r w:rsidR="00E5624E">
              <w:t>rmationen f</w:t>
            </w:r>
            <w:r>
              <w:t xml:space="preserve">ür </w:t>
            </w:r>
            <w:r w:rsidR="00E5624E">
              <w:t xml:space="preserve">eine </w:t>
            </w:r>
            <w:r>
              <w:t>SIS relevant sind</w:t>
            </w:r>
          </w:p>
          <w:p w14:paraId="58BD8523" w14:textId="2387F8EC" w:rsidR="00E5624E" w:rsidRDefault="00E5624E" w:rsidP="00736D39">
            <w:r>
              <w:t>-Sie geben der in der SIS beschriebene</w:t>
            </w:r>
            <w:r w:rsidR="005C305A">
              <w:t>n</w:t>
            </w:r>
            <w:r>
              <w:t xml:space="preserve"> Person Widererkennungswert, so dass eine Person erkannt wird, ohne deren Namen zu wissen</w:t>
            </w:r>
          </w:p>
          <w:p w14:paraId="2E016A25" w14:textId="3D141739" w:rsidR="00736D39" w:rsidRPr="001450C1" w:rsidRDefault="00736D39" w:rsidP="00736D39"/>
        </w:tc>
      </w:tr>
      <w:tr w:rsidR="00402236" w14:paraId="75F9AC87" w14:textId="77777777" w:rsidTr="00A87554">
        <w:tc>
          <w:tcPr>
            <w:tcW w:w="9062" w:type="dxa"/>
          </w:tcPr>
          <w:p w14:paraId="4D4B417C" w14:textId="77777777" w:rsidR="00402236" w:rsidRDefault="00402236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Geförderte Kompetenzen</w:t>
            </w:r>
            <w:r>
              <w:rPr>
                <w:rStyle w:val="Funotenzeichen"/>
                <w:b/>
                <w:bCs/>
              </w:rPr>
              <w:footnoteReference w:id="1"/>
            </w:r>
          </w:p>
          <w:p w14:paraId="5DE14D90" w14:textId="2EA2FFBF" w:rsidR="00402236" w:rsidRDefault="00F134F1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I.1 / I.2 /I.5 / I.6/ II.1 / III.2</w:t>
            </w:r>
          </w:p>
          <w:p w14:paraId="1145593D" w14:textId="77777777" w:rsidR="00402236" w:rsidRDefault="00402236" w:rsidP="00A87554">
            <w:pPr>
              <w:rPr>
                <w:b/>
                <w:bCs/>
              </w:rPr>
            </w:pPr>
          </w:p>
          <w:p w14:paraId="1D6CE77F" w14:textId="7B6F45CD" w:rsidR="00402236" w:rsidRDefault="00402236" w:rsidP="00A87554">
            <w:pPr>
              <w:rPr>
                <w:b/>
                <w:bCs/>
              </w:rPr>
            </w:pPr>
          </w:p>
        </w:tc>
      </w:tr>
      <w:tr w:rsidR="007F7D51" w14:paraId="2EAB670B" w14:textId="77777777" w:rsidTr="00A87554">
        <w:tc>
          <w:tcPr>
            <w:tcW w:w="9062" w:type="dxa"/>
          </w:tcPr>
          <w:p w14:paraId="6A7919F7" w14:textId="5BAE8059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DDD">
              <w:rPr>
                <w:b/>
                <w:bCs/>
                <w:sz w:val="28"/>
                <w:szCs w:val="28"/>
              </w:rPr>
              <w:lastRenderedPageBreak/>
              <w:t>Aufgabenstellung:</w:t>
            </w:r>
          </w:p>
          <w:p w14:paraId="7B56E066" w14:textId="77777777" w:rsidR="00402236" w:rsidRDefault="00402236" w:rsidP="00402236">
            <w:pPr>
              <w:rPr>
                <w:b/>
                <w:bCs/>
                <w:sz w:val="28"/>
                <w:szCs w:val="28"/>
              </w:rPr>
            </w:pPr>
          </w:p>
          <w:p w14:paraId="2E051EA1" w14:textId="77777777" w:rsidR="007F7D51" w:rsidRPr="00774DDD" w:rsidRDefault="007F7D51" w:rsidP="00A87554">
            <w:pPr>
              <w:rPr>
                <w:b/>
                <w:bCs/>
                <w:sz w:val="28"/>
                <w:szCs w:val="28"/>
              </w:rPr>
            </w:pPr>
          </w:p>
          <w:p w14:paraId="0E151E23" w14:textId="03C43E3C" w:rsidR="00686AAE" w:rsidRDefault="00686AAE" w:rsidP="007F7D51">
            <w:pPr>
              <w:pStyle w:val="Listenabsatz"/>
              <w:numPr>
                <w:ilvl w:val="0"/>
                <w:numId w:val="2"/>
              </w:numPr>
              <w:shd w:val="clear" w:color="auto" w:fill="D9D9D9" w:themeFill="background1" w:themeFillShade="D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Vorbereitende Überlegungen</w:t>
            </w:r>
          </w:p>
          <w:p w14:paraId="3E22E4D4" w14:textId="139C9739" w:rsidR="00402236" w:rsidRDefault="00402236" w:rsidP="00402236">
            <w:pPr>
              <w:pStyle w:val="Listenabsatz"/>
              <w:shd w:val="clear" w:color="auto" w:fill="FFFFFF" w:themeFill="background1"/>
              <w:ind w:left="1440"/>
              <w:rPr>
                <w:b/>
                <w:bCs/>
                <w:sz w:val="28"/>
                <w:szCs w:val="28"/>
              </w:rPr>
            </w:pPr>
          </w:p>
          <w:p w14:paraId="7962113D" w14:textId="32653DE4" w:rsidR="00736D39" w:rsidRPr="00EA4BA0" w:rsidRDefault="00E5624E" w:rsidP="00EA4BA0">
            <w:pPr>
              <w:pStyle w:val="Listenabsatz"/>
              <w:numPr>
                <w:ilvl w:val="0"/>
                <w:numId w:val="13"/>
              </w:numPr>
              <w:shd w:val="clear" w:color="auto" w:fill="FFFFFF" w:themeFill="background1"/>
              <w:rPr>
                <w:sz w:val="28"/>
                <w:szCs w:val="28"/>
              </w:rPr>
            </w:pPr>
            <w:r w:rsidRPr="00EA4BA0">
              <w:rPr>
                <w:sz w:val="28"/>
                <w:szCs w:val="28"/>
              </w:rPr>
              <w:t>Welche Informationen benötigen Sie für eine vollständige SIS</w:t>
            </w:r>
            <w:r w:rsidR="005C305A">
              <w:rPr>
                <w:sz w:val="28"/>
                <w:szCs w:val="28"/>
              </w:rPr>
              <w:t>?</w:t>
            </w:r>
          </w:p>
          <w:p w14:paraId="29444C43" w14:textId="19A4D7D9" w:rsidR="00E5624E" w:rsidRPr="00EA4BA0" w:rsidRDefault="00E5624E" w:rsidP="00EA4BA0">
            <w:pPr>
              <w:pStyle w:val="Listenabsatz"/>
              <w:numPr>
                <w:ilvl w:val="0"/>
                <w:numId w:val="13"/>
              </w:numPr>
              <w:shd w:val="clear" w:color="auto" w:fill="FFFFFF" w:themeFill="background1"/>
              <w:rPr>
                <w:sz w:val="28"/>
                <w:szCs w:val="28"/>
              </w:rPr>
            </w:pPr>
            <w:r w:rsidRPr="00EA4BA0">
              <w:rPr>
                <w:sz w:val="28"/>
                <w:szCs w:val="28"/>
              </w:rPr>
              <w:t>Wie dokumentieren Sie Ihr Gespräch? Wo machen Sie sich Notizen</w:t>
            </w:r>
            <w:r w:rsidR="00EA4BA0">
              <w:rPr>
                <w:sz w:val="28"/>
                <w:szCs w:val="28"/>
              </w:rPr>
              <w:t xml:space="preserve"> in dem jeweiligen Themenfeld</w:t>
            </w:r>
            <w:r w:rsidRPr="00EA4BA0">
              <w:rPr>
                <w:sz w:val="28"/>
                <w:szCs w:val="28"/>
              </w:rPr>
              <w:t>?</w:t>
            </w:r>
          </w:p>
          <w:p w14:paraId="3DD4036F" w14:textId="0ED27A83" w:rsidR="00E5624E" w:rsidRPr="00EA4BA0" w:rsidRDefault="00E5624E" w:rsidP="00EA4BA0">
            <w:pPr>
              <w:pStyle w:val="Listenabsatz"/>
              <w:numPr>
                <w:ilvl w:val="0"/>
                <w:numId w:val="13"/>
              </w:numPr>
              <w:shd w:val="clear" w:color="auto" w:fill="FFFFFF" w:themeFill="background1"/>
              <w:rPr>
                <w:sz w:val="28"/>
                <w:szCs w:val="28"/>
              </w:rPr>
            </w:pPr>
            <w:r w:rsidRPr="00EA4BA0">
              <w:rPr>
                <w:sz w:val="28"/>
                <w:szCs w:val="28"/>
              </w:rPr>
              <w:t>Welche Informationen und Beobachtungen können Sie noch zur Hilfe hinzuziehen?</w:t>
            </w:r>
            <w:r w:rsidR="001B036B" w:rsidRPr="00EA4BA0">
              <w:rPr>
                <w:sz w:val="28"/>
                <w:szCs w:val="28"/>
              </w:rPr>
              <w:t xml:space="preserve"> Welche sind wirklich relevant?</w:t>
            </w:r>
          </w:p>
          <w:p w14:paraId="767DC70A" w14:textId="77777777" w:rsidR="00686AAE" w:rsidRPr="00686AAE" w:rsidRDefault="00686AAE" w:rsidP="00686AAE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  <w:p w14:paraId="1574CC7A" w14:textId="1EE3392C" w:rsidR="007F7D51" w:rsidRPr="00774DDD" w:rsidRDefault="007F7D51" w:rsidP="007F7D51">
            <w:pPr>
              <w:pStyle w:val="Listenabsatz"/>
              <w:numPr>
                <w:ilvl w:val="0"/>
                <w:numId w:val="2"/>
              </w:numPr>
              <w:shd w:val="clear" w:color="auto" w:fill="D9D9D9" w:themeFill="background1" w:themeFillShade="D9"/>
              <w:rPr>
                <w:b/>
                <w:bCs/>
                <w:sz w:val="28"/>
                <w:szCs w:val="28"/>
              </w:rPr>
            </w:pPr>
            <w:r w:rsidRPr="00774DDD">
              <w:rPr>
                <w:b/>
                <w:bCs/>
                <w:sz w:val="28"/>
                <w:szCs w:val="28"/>
              </w:rPr>
              <w:t>Praktische Durchführung:</w:t>
            </w:r>
          </w:p>
          <w:p w14:paraId="1E71D31F" w14:textId="4EDBB59A" w:rsidR="00686AAE" w:rsidRDefault="00686AAE" w:rsidP="00686AAE">
            <w:pPr>
              <w:pStyle w:val="Listenabsatz"/>
              <w:ind w:left="1440"/>
              <w:rPr>
                <w:b/>
                <w:bCs/>
                <w:sz w:val="28"/>
                <w:szCs w:val="28"/>
              </w:rPr>
            </w:pPr>
          </w:p>
          <w:p w14:paraId="79F8AF3F" w14:textId="6821B1B1" w:rsidR="00736D39" w:rsidRPr="00EA4BA0" w:rsidRDefault="001B036B" w:rsidP="00EA4BA0">
            <w:pPr>
              <w:pStyle w:val="Listenabsatz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EA4BA0">
              <w:rPr>
                <w:sz w:val="28"/>
                <w:szCs w:val="28"/>
              </w:rPr>
              <w:t>Füllen Sie</w:t>
            </w:r>
            <w:r w:rsidR="00EA4BA0" w:rsidRPr="00EA4BA0">
              <w:rPr>
                <w:sz w:val="28"/>
                <w:szCs w:val="28"/>
              </w:rPr>
              <w:t xml:space="preserve"> eine SIS vollständig</w:t>
            </w:r>
            <w:r w:rsidRPr="00EA4BA0">
              <w:rPr>
                <w:sz w:val="28"/>
                <w:szCs w:val="28"/>
              </w:rPr>
              <w:t xml:space="preserve"> innerhalb einer Woche über einen</w:t>
            </w:r>
            <w:r w:rsidR="005C305A">
              <w:rPr>
                <w:sz w:val="28"/>
                <w:szCs w:val="28"/>
              </w:rPr>
              <w:t>,</w:t>
            </w:r>
            <w:r w:rsidRPr="00EA4BA0">
              <w:rPr>
                <w:sz w:val="28"/>
                <w:szCs w:val="28"/>
              </w:rPr>
              <w:t xml:space="preserve"> auch ihrem Praxisanleiter bekannten Menschen anhand Ihres Vorwissens und den Ihren vorbereitenden Überlegungen aus. </w:t>
            </w:r>
          </w:p>
          <w:p w14:paraId="3879403D" w14:textId="77777777" w:rsidR="00736D39" w:rsidRPr="001B036B" w:rsidRDefault="00736D39" w:rsidP="001B036B">
            <w:pPr>
              <w:rPr>
                <w:b/>
                <w:bCs/>
                <w:sz w:val="28"/>
                <w:szCs w:val="28"/>
              </w:rPr>
            </w:pPr>
          </w:p>
          <w:p w14:paraId="1D42F5AF" w14:textId="77777777" w:rsidR="007F7D51" w:rsidRDefault="007F7D51" w:rsidP="007F7D51">
            <w:pPr>
              <w:pStyle w:val="Listenabsatz"/>
              <w:numPr>
                <w:ilvl w:val="0"/>
                <w:numId w:val="2"/>
              </w:numPr>
              <w:shd w:val="clear" w:color="auto" w:fill="D9D9D9" w:themeFill="background1" w:themeFillShade="D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Auswertung / Reflexion:</w:t>
            </w:r>
          </w:p>
          <w:p w14:paraId="65951E68" w14:textId="2F2539B7" w:rsidR="00402236" w:rsidRDefault="00402236" w:rsidP="00402236">
            <w:pPr>
              <w:rPr>
                <w:b/>
                <w:bCs/>
                <w:sz w:val="28"/>
                <w:szCs w:val="28"/>
              </w:rPr>
            </w:pPr>
          </w:p>
          <w:p w14:paraId="4223F6AD" w14:textId="32B35F73" w:rsidR="00402236" w:rsidRDefault="001B036B" w:rsidP="0040223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Werten Sie die von Ihnen gelöste Lernaufgabe mit Ihrer Praxisanleitung unter Berücksichtigung der folgenden Kriterien aus: </w:t>
            </w:r>
          </w:p>
          <w:p w14:paraId="481397CD" w14:textId="26619FA9" w:rsidR="001B036B" w:rsidRDefault="001B036B" w:rsidP="00402236">
            <w:pPr>
              <w:rPr>
                <w:b/>
                <w:bCs/>
                <w:sz w:val="28"/>
                <w:szCs w:val="28"/>
              </w:rPr>
            </w:pPr>
          </w:p>
          <w:p w14:paraId="0A36EAEB" w14:textId="2D9E7014" w:rsidR="001B036B" w:rsidRPr="007D0124" w:rsidRDefault="001B036B" w:rsidP="001B036B">
            <w:pPr>
              <w:pStyle w:val="Listenabsatz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7D0124">
              <w:rPr>
                <w:sz w:val="28"/>
                <w:szCs w:val="28"/>
              </w:rPr>
              <w:t>Geben Sie Probleme und Schwierigkeiten während der Vorbereitung und der Durchführung an!</w:t>
            </w:r>
          </w:p>
          <w:p w14:paraId="323E7E3E" w14:textId="52C16F7E" w:rsidR="00EA4BA0" w:rsidRPr="007D0124" w:rsidRDefault="00EA4BA0" w:rsidP="001B036B">
            <w:pPr>
              <w:pStyle w:val="Listenabsatz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7D0124">
              <w:rPr>
                <w:sz w:val="28"/>
                <w:szCs w:val="28"/>
              </w:rPr>
              <w:t>Nennen Sie fachliche Hintergründe, die Ihnen zum Thema noch fehlen!</w:t>
            </w:r>
          </w:p>
          <w:p w14:paraId="61DF1880" w14:textId="16A9E888" w:rsidR="00EA4BA0" w:rsidRPr="007D0124" w:rsidRDefault="00EA4BA0" w:rsidP="001B036B">
            <w:pPr>
              <w:pStyle w:val="Listenabsatz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7D0124">
              <w:rPr>
                <w:sz w:val="28"/>
                <w:szCs w:val="28"/>
              </w:rPr>
              <w:t>Beschreiben Sie Ihre Gefühle und Unsicherheiten während der Beobachtung und der Erstellung.</w:t>
            </w:r>
          </w:p>
          <w:p w14:paraId="4F538279" w14:textId="6B064B61" w:rsidR="00EA4BA0" w:rsidRPr="007D0124" w:rsidRDefault="005C305A" w:rsidP="001B036B">
            <w:pPr>
              <w:pStyle w:val="Listenabsatz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Inwiefern e</w:t>
            </w:r>
            <w:r w:rsidR="00EA4BA0" w:rsidRPr="007D0124">
              <w:rPr>
                <w:sz w:val="28"/>
                <w:szCs w:val="28"/>
              </w:rPr>
              <w:t>rkennt man die beschriebene Person wiede</w:t>
            </w:r>
            <w:r>
              <w:rPr>
                <w:sz w:val="28"/>
                <w:szCs w:val="28"/>
              </w:rPr>
              <w:t>r / nicht wiede</w:t>
            </w:r>
            <w:r w:rsidR="00EA4BA0" w:rsidRPr="007D0124">
              <w:rPr>
                <w:sz w:val="28"/>
                <w:szCs w:val="28"/>
              </w:rPr>
              <w:t>r?</w:t>
            </w:r>
          </w:p>
          <w:p w14:paraId="14C7F40A" w14:textId="77777777" w:rsidR="001B036B" w:rsidRPr="001B036B" w:rsidRDefault="001B036B" w:rsidP="00EA4BA0">
            <w:pPr>
              <w:pStyle w:val="Listenabsatz"/>
              <w:rPr>
                <w:b/>
                <w:bCs/>
                <w:sz w:val="28"/>
                <w:szCs w:val="28"/>
              </w:rPr>
            </w:pPr>
          </w:p>
          <w:p w14:paraId="3BC0C509" w14:textId="79CDA0D7" w:rsidR="00402236" w:rsidRDefault="00402236" w:rsidP="0040223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Notizen:</w:t>
            </w:r>
          </w:p>
          <w:p w14:paraId="60A03E62" w14:textId="77777777" w:rsidR="00402236" w:rsidRPr="00402236" w:rsidRDefault="00402236" w:rsidP="00402236">
            <w:pPr>
              <w:rPr>
                <w:b/>
                <w:bCs/>
                <w:sz w:val="28"/>
                <w:szCs w:val="28"/>
              </w:rPr>
            </w:pPr>
          </w:p>
          <w:p w14:paraId="6E1EDD40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6AC64610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2947193C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3B1B33D9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3EFCBBA6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22E34AF7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49C3911F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0279FEB2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196ED405" w14:textId="1EA23589" w:rsidR="00402236" w:rsidRDefault="00402236" w:rsidP="00402236">
            <w:pPr>
              <w:rPr>
                <w:b/>
                <w:bCs/>
                <w:sz w:val="28"/>
                <w:szCs w:val="28"/>
              </w:rPr>
            </w:pPr>
          </w:p>
          <w:p w14:paraId="4FEC8649" w14:textId="3FE87D3B" w:rsidR="00736D39" w:rsidRDefault="00736D39" w:rsidP="00402236">
            <w:pPr>
              <w:rPr>
                <w:b/>
                <w:bCs/>
                <w:sz w:val="28"/>
                <w:szCs w:val="28"/>
              </w:rPr>
            </w:pPr>
          </w:p>
          <w:p w14:paraId="55190AB0" w14:textId="3CBBDC00" w:rsidR="00736D39" w:rsidRDefault="00736D39" w:rsidP="00402236">
            <w:pPr>
              <w:rPr>
                <w:b/>
                <w:bCs/>
                <w:sz w:val="28"/>
                <w:szCs w:val="28"/>
              </w:rPr>
            </w:pPr>
          </w:p>
          <w:p w14:paraId="0DF3D295" w14:textId="5DE244CA" w:rsidR="00736D39" w:rsidRDefault="00736D39" w:rsidP="00402236">
            <w:pPr>
              <w:rPr>
                <w:b/>
                <w:bCs/>
                <w:sz w:val="28"/>
                <w:szCs w:val="28"/>
              </w:rPr>
            </w:pPr>
          </w:p>
          <w:p w14:paraId="4C75EF18" w14:textId="63625345" w:rsidR="00736D39" w:rsidRDefault="00736D39" w:rsidP="00402236">
            <w:pPr>
              <w:rPr>
                <w:b/>
                <w:bCs/>
                <w:sz w:val="28"/>
                <w:szCs w:val="28"/>
              </w:rPr>
            </w:pPr>
          </w:p>
          <w:p w14:paraId="61239F84" w14:textId="33BA9EE7" w:rsidR="00402236" w:rsidRPr="00402236" w:rsidRDefault="00402236" w:rsidP="0040223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A958208" w14:textId="77777777" w:rsidR="00BA6DD3" w:rsidRDefault="00BA6DD3" w:rsidP="007F7D51">
      <w:pPr>
        <w:rPr>
          <w:b/>
          <w:bCs/>
          <w:sz w:val="28"/>
          <w:szCs w:val="28"/>
        </w:rPr>
      </w:pPr>
    </w:p>
    <w:p w14:paraId="07FF31E1" w14:textId="77777777" w:rsidR="007F7D51" w:rsidRDefault="007F7D51" w:rsidP="007F7D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Angesprochene Kompetenzen des ersten Ausbildungsdrittels</w:t>
      </w:r>
      <w:r>
        <w:rPr>
          <w:rStyle w:val="Funotenzeichen"/>
          <w:b/>
          <w:bCs/>
          <w:sz w:val="28"/>
          <w:szCs w:val="28"/>
        </w:rPr>
        <w:footnoteReference w:id="2"/>
      </w:r>
    </w:p>
    <w:p w14:paraId="64293E65" w14:textId="77777777" w:rsidR="007F7D51" w:rsidRDefault="007F7D51" w:rsidP="007F7D51">
      <w:pPr>
        <w:shd w:val="clear" w:color="auto" w:fill="D9D9D9" w:themeFill="background1" w:themeFillShade="D9"/>
        <w:jc w:val="center"/>
        <w:rPr>
          <w:b/>
          <w:bCs/>
          <w:sz w:val="28"/>
          <w:szCs w:val="28"/>
        </w:rPr>
      </w:pPr>
      <w:r w:rsidRPr="00550887">
        <w:rPr>
          <w:b/>
          <w:bCs/>
          <w:sz w:val="28"/>
          <w:szCs w:val="28"/>
        </w:rPr>
        <w:t>Kompetenzbereich I</w:t>
      </w:r>
    </w:p>
    <w:p w14:paraId="1D4B8CFC" w14:textId="77777777" w:rsidR="007F7D51" w:rsidRPr="00550887" w:rsidRDefault="007F7D51" w:rsidP="007F7D51">
      <w:pPr>
        <w:shd w:val="clear" w:color="auto" w:fill="D9D9D9" w:themeFill="background1" w:themeFillShade="D9"/>
        <w:rPr>
          <w:b/>
          <w:bCs/>
          <w:sz w:val="28"/>
          <w:szCs w:val="28"/>
        </w:rPr>
      </w:pPr>
      <w:r w:rsidRPr="00550887">
        <w:rPr>
          <w:b/>
          <w:bCs/>
        </w:rPr>
        <w:t>Pflegeprozesse und Pflegediagnostik in akuten und dauerhaften Pflegesituationen verantwortlich planen, organisieren, gestalten, durchführen, steuern und evaluieren.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7650"/>
        <w:gridCol w:w="685"/>
        <w:gridCol w:w="727"/>
      </w:tblGrid>
      <w:tr w:rsidR="007F7D51" w14:paraId="1FCCFBAE" w14:textId="77777777" w:rsidTr="00A87554">
        <w:tc>
          <w:tcPr>
            <w:tcW w:w="7650" w:type="dxa"/>
          </w:tcPr>
          <w:p w14:paraId="766C6B12" w14:textId="77777777" w:rsidR="007F7D51" w:rsidRDefault="007F7D51" w:rsidP="00A87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5" w:type="dxa"/>
          </w:tcPr>
          <w:p w14:paraId="38549557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</w:t>
            </w:r>
          </w:p>
        </w:tc>
        <w:tc>
          <w:tcPr>
            <w:tcW w:w="727" w:type="dxa"/>
          </w:tcPr>
          <w:p w14:paraId="1FF1F191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nein</w:t>
            </w:r>
          </w:p>
        </w:tc>
      </w:tr>
      <w:tr w:rsidR="007F7D51" w14:paraId="6CDEF074" w14:textId="77777777" w:rsidTr="00A87554">
        <w:tc>
          <w:tcPr>
            <w:tcW w:w="7650" w:type="dxa"/>
          </w:tcPr>
          <w:p w14:paraId="15DFF7F0" w14:textId="77777777" w:rsidR="007F7D51" w:rsidRDefault="007F7D51" w:rsidP="00A87554">
            <w:r>
              <w:t>I.1 Die Pflege von Menschen aller Altersstufen verantwortlich planen, organisieren, gestalten, durchführen, steuern und evaluieren (bewerten).</w:t>
            </w:r>
          </w:p>
          <w:p w14:paraId="4C376EBB" w14:textId="77777777" w:rsidR="007F7D51" w:rsidRDefault="007F7D51" w:rsidP="00A87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5" w:type="dxa"/>
          </w:tcPr>
          <w:p w14:paraId="059FCCC9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14:paraId="5E7FEE1E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7D51" w14:paraId="3C43B60C" w14:textId="77777777" w:rsidTr="00A87554">
        <w:tc>
          <w:tcPr>
            <w:tcW w:w="7650" w:type="dxa"/>
          </w:tcPr>
          <w:p w14:paraId="3FBB8023" w14:textId="77777777" w:rsidR="007F7D51" w:rsidRDefault="007F7D51" w:rsidP="00A87554">
            <w:pPr>
              <w:rPr>
                <w:b/>
                <w:bCs/>
                <w:sz w:val="28"/>
                <w:szCs w:val="28"/>
              </w:rPr>
            </w:pPr>
            <w:r>
              <w:t>I.2 Pflegeprozesse und Pflegediagnostik bei Menschen aller Altersstufen mit gesundheitlichen Problemlagen planen, organisieren, gestalten, durchführen, steuern und evaluieren (bewerten) unter dem besonderen Fokus von Gesundheitsförderung und Prävention.</w:t>
            </w:r>
          </w:p>
        </w:tc>
        <w:tc>
          <w:tcPr>
            <w:tcW w:w="685" w:type="dxa"/>
          </w:tcPr>
          <w:p w14:paraId="172F8B12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14:paraId="15F6E88A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7D51" w14:paraId="7A9B324F" w14:textId="77777777" w:rsidTr="00A87554">
        <w:tc>
          <w:tcPr>
            <w:tcW w:w="7650" w:type="dxa"/>
          </w:tcPr>
          <w:p w14:paraId="0CABC1E1" w14:textId="77777777" w:rsidR="007F7D51" w:rsidRDefault="007F7D51" w:rsidP="00A87554">
            <w:pPr>
              <w:rPr>
                <w:b/>
                <w:bCs/>
                <w:sz w:val="28"/>
                <w:szCs w:val="28"/>
              </w:rPr>
            </w:pPr>
            <w:r>
              <w:t>I.3 Pflegeprozesse und Pflegediagnostik von Menschen aller Altersstufen in hoch belasteten und kritischen Lebenssituationen verantwortlich planen, organisieren, gestalten, durchführen, steuern und evaluieren.</w:t>
            </w:r>
          </w:p>
        </w:tc>
        <w:tc>
          <w:tcPr>
            <w:tcW w:w="685" w:type="dxa"/>
          </w:tcPr>
          <w:p w14:paraId="34398E36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14:paraId="1F116D4F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7D51" w14:paraId="132D11FA" w14:textId="77777777" w:rsidTr="00A87554">
        <w:tc>
          <w:tcPr>
            <w:tcW w:w="7650" w:type="dxa"/>
          </w:tcPr>
          <w:p w14:paraId="2EE5ECE6" w14:textId="77777777" w:rsidR="007F7D51" w:rsidRDefault="007F7D51" w:rsidP="00A87554">
            <w:pPr>
              <w:rPr>
                <w:b/>
                <w:bCs/>
                <w:sz w:val="28"/>
                <w:szCs w:val="28"/>
              </w:rPr>
            </w:pPr>
            <w:r>
              <w:t>I.4 In lebensbedrohlichen sowie in Krisen- oder Katastrophensituationen zielgerichtet handeln.</w:t>
            </w:r>
          </w:p>
        </w:tc>
        <w:tc>
          <w:tcPr>
            <w:tcW w:w="685" w:type="dxa"/>
          </w:tcPr>
          <w:p w14:paraId="45BDF21F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14:paraId="22FE5C71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7D51" w14:paraId="563C2F09" w14:textId="77777777" w:rsidTr="00A87554">
        <w:tc>
          <w:tcPr>
            <w:tcW w:w="7650" w:type="dxa"/>
          </w:tcPr>
          <w:p w14:paraId="43175CC4" w14:textId="77777777" w:rsidR="007F7D51" w:rsidRDefault="007F7D51" w:rsidP="00A87554">
            <w:r>
              <w:t>I.5 Menschen aller Altersstufen bei der Lebensgestaltung unterstützen, begleiten und beraten</w:t>
            </w:r>
          </w:p>
        </w:tc>
        <w:tc>
          <w:tcPr>
            <w:tcW w:w="685" w:type="dxa"/>
          </w:tcPr>
          <w:p w14:paraId="724EA6D6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14:paraId="4E636590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7D51" w14:paraId="5584C8C4" w14:textId="77777777" w:rsidTr="00A87554">
        <w:tc>
          <w:tcPr>
            <w:tcW w:w="7650" w:type="dxa"/>
          </w:tcPr>
          <w:p w14:paraId="5DE5516C" w14:textId="77777777" w:rsidR="007F7D51" w:rsidRDefault="007F7D51" w:rsidP="00A87554">
            <w:pPr>
              <w:rPr>
                <w:b/>
                <w:bCs/>
                <w:sz w:val="28"/>
                <w:szCs w:val="28"/>
              </w:rPr>
            </w:pPr>
            <w:r>
              <w:t>I.6 Entwicklung und Autonomie in der Lebensspanne fördern.</w:t>
            </w:r>
          </w:p>
        </w:tc>
        <w:tc>
          <w:tcPr>
            <w:tcW w:w="685" w:type="dxa"/>
          </w:tcPr>
          <w:p w14:paraId="41717E51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14:paraId="3A07BA59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216D846" w14:textId="77777777" w:rsidR="007F7D51" w:rsidRDefault="007F7D51" w:rsidP="007F7D51">
      <w:pPr>
        <w:jc w:val="center"/>
        <w:rPr>
          <w:b/>
          <w:bCs/>
          <w:sz w:val="28"/>
          <w:szCs w:val="28"/>
        </w:rPr>
      </w:pPr>
    </w:p>
    <w:p w14:paraId="2173E3CD" w14:textId="77777777" w:rsidR="007F7D51" w:rsidRDefault="007F7D51" w:rsidP="007F7D51">
      <w:pPr>
        <w:shd w:val="clear" w:color="auto" w:fill="D9D9D9" w:themeFill="background1" w:themeFillShade="D9"/>
        <w:jc w:val="center"/>
        <w:rPr>
          <w:b/>
          <w:bCs/>
          <w:sz w:val="28"/>
          <w:szCs w:val="28"/>
        </w:rPr>
      </w:pPr>
      <w:r w:rsidRPr="00007FF8">
        <w:rPr>
          <w:b/>
          <w:bCs/>
          <w:sz w:val="28"/>
          <w:szCs w:val="28"/>
        </w:rPr>
        <w:t>Kompetenzbereich II</w:t>
      </w:r>
    </w:p>
    <w:p w14:paraId="75F6F84D" w14:textId="77777777" w:rsidR="007F7D51" w:rsidRPr="00007FF8" w:rsidRDefault="007F7D51" w:rsidP="007F7D51">
      <w:pPr>
        <w:shd w:val="clear" w:color="auto" w:fill="D9D9D9" w:themeFill="background1" w:themeFillShade="D9"/>
        <w:jc w:val="center"/>
        <w:rPr>
          <w:b/>
          <w:bCs/>
          <w:sz w:val="28"/>
          <w:szCs w:val="28"/>
        </w:rPr>
      </w:pPr>
      <w:r w:rsidRPr="00007FF8">
        <w:rPr>
          <w:b/>
          <w:bCs/>
        </w:rPr>
        <w:t xml:space="preserve"> Kommunikation und Beratung personen- und situationsorientiert gestalten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7650"/>
        <w:gridCol w:w="685"/>
        <w:gridCol w:w="727"/>
      </w:tblGrid>
      <w:tr w:rsidR="007F7D51" w14:paraId="33698A24" w14:textId="77777777" w:rsidTr="00A87554">
        <w:tc>
          <w:tcPr>
            <w:tcW w:w="7650" w:type="dxa"/>
          </w:tcPr>
          <w:p w14:paraId="1EA09118" w14:textId="77777777" w:rsidR="007F7D51" w:rsidRDefault="007F7D51" w:rsidP="00A87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5" w:type="dxa"/>
          </w:tcPr>
          <w:p w14:paraId="10EB0795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</w:t>
            </w:r>
          </w:p>
        </w:tc>
        <w:tc>
          <w:tcPr>
            <w:tcW w:w="727" w:type="dxa"/>
          </w:tcPr>
          <w:p w14:paraId="238EAC02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nein</w:t>
            </w:r>
          </w:p>
        </w:tc>
      </w:tr>
      <w:tr w:rsidR="007F7D51" w14:paraId="5BCAFBA7" w14:textId="77777777" w:rsidTr="00A87554">
        <w:tc>
          <w:tcPr>
            <w:tcW w:w="7650" w:type="dxa"/>
          </w:tcPr>
          <w:p w14:paraId="72E55081" w14:textId="77777777" w:rsidR="007F7D51" w:rsidRPr="00550887" w:rsidRDefault="007F7D51" w:rsidP="00A87554">
            <w:r>
              <w:t>II.1 Kommunikation und Interaktion mit Menschen aller Altersstufen und ihren Bezugspersonen personen- und situationsbezogen gestalten und eine angemessene Information sicherstellen.</w:t>
            </w:r>
          </w:p>
        </w:tc>
        <w:tc>
          <w:tcPr>
            <w:tcW w:w="685" w:type="dxa"/>
          </w:tcPr>
          <w:p w14:paraId="624E655D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14:paraId="74938E67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7D51" w14:paraId="40BF9AD6" w14:textId="77777777" w:rsidTr="00A87554">
        <w:tc>
          <w:tcPr>
            <w:tcW w:w="7650" w:type="dxa"/>
          </w:tcPr>
          <w:p w14:paraId="152527C9" w14:textId="77777777" w:rsidR="007F7D51" w:rsidRDefault="007F7D51" w:rsidP="00A87554">
            <w:r>
              <w:t>II.2 Information, Schulung und Beratung bei Menschen aller Altersstufen / Kindern und Jugendlichen / alten Menschen verantwortlich organisieren, gestalten, steuern und evaluieren (bewerten).</w:t>
            </w:r>
          </w:p>
        </w:tc>
        <w:tc>
          <w:tcPr>
            <w:tcW w:w="685" w:type="dxa"/>
          </w:tcPr>
          <w:p w14:paraId="4D7415FF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14:paraId="797CB884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7D51" w14:paraId="189A6C28" w14:textId="77777777" w:rsidTr="00A87554">
        <w:tc>
          <w:tcPr>
            <w:tcW w:w="7650" w:type="dxa"/>
          </w:tcPr>
          <w:p w14:paraId="11A3D963" w14:textId="77777777" w:rsidR="007F7D51" w:rsidRDefault="007F7D51" w:rsidP="00A87554">
            <w:r>
              <w:t>II.3 Ethisch reflektiert handeln.</w:t>
            </w:r>
          </w:p>
        </w:tc>
        <w:tc>
          <w:tcPr>
            <w:tcW w:w="685" w:type="dxa"/>
          </w:tcPr>
          <w:p w14:paraId="55D7760B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14:paraId="45D85DFC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7340BAD" w14:textId="77777777" w:rsidR="007F7D51" w:rsidRDefault="007F7D51" w:rsidP="007F7D51">
      <w:pPr>
        <w:jc w:val="center"/>
        <w:rPr>
          <w:b/>
          <w:bCs/>
          <w:sz w:val="28"/>
          <w:szCs w:val="28"/>
        </w:rPr>
      </w:pPr>
    </w:p>
    <w:p w14:paraId="22B0E130" w14:textId="77777777" w:rsidR="007F7D51" w:rsidRDefault="007F7D51" w:rsidP="007F7D51">
      <w:pPr>
        <w:shd w:val="clear" w:color="auto" w:fill="D9D9D9" w:themeFill="background1" w:themeFillShade="D9"/>
        <w:jc w:val="center"/>
        <w:rPr>
          <w:b/>
          <w:bCs/>
          <w:sz w:val="28"/>
          <w:szCs w:val="28"/>
        </w:rPr>
      </w:pPr>
      <w:r w:rsidRPr="00007FF8">
        <w:rPr>
          <w:b/>
          <w:bCs/>
          <w:sz w:val="28"/>
          <w:szCs w:val="28"/>
        </w:rPr>
        <w:t>Kompetenzbereich II</w:t>
      </w:r>
      <w:r>
        <w:rPr>
          <w:b/>
          <w:bCs/>
          <w:sz w:val="28"/>
          <w:szCs w:val="28"/>
        </w:rPr>
        <w:t>I</w:t>
      </w:r>
    </w:p>
    <w:p w14:paraId="76BBB34B" w14:textId="77777777" w:rsidR="007F7D51" w:rsidRPr="00007FF8" w:rsidRDefault="007F7D51" w:rsidP="007F7D51">
      <w:pPr>
        <w:shd w:val="clear" w:color="auto" w:fill="D9D9D9" w:themeFill="background1" w:themeFillShade="D9"/>
        <w:jc w:val="center"/>
        <w:rPr>
          <w:b/>
          <w:bCs/>
          <w:sz w:val="28"/>
          <w:szCs w:val="28"/>
        </w:rPr>
      </w:pPr>
      <w:r w:rsidRPr="00007FF8">
        <w:rPr>
          <w:b/>
          <w:bCs/>
        </w:rPr>
        <w:t>Intra- und interprofessionelles Handeln in unterschiedlichen systemischen Kontexten verantwortlich gestalten und mitgestalten.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7650"/>
        <w:gridCol w:w="685"/>
        <w:gridCol w:w="727"/>
      </w:tblGrid>
      <w:tr w:rsidR="007F7D51" w14:paraId="0E38A621" w14:textId="77777777" w:rsidTr="00A87554">
        <w:tc>
          <w:tcPr>
            <w:tcW w:w="7650" w:type="dxa"/>
          </w:tcPr>
          <w:p w14:paraId="19DA41AE" w14:textId="77777777" w:rsidR="007F7D51" w:rsidRDefault="007F7D51" w:rsidP="00A87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5" w:type="dxa"/>
          </w:tcPr>
          <w:p w14:paraId="65166662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</w:t>
            </w:r>
          </w:p>
        </w:tc>
        <w:tc>
          <w:tcPr>
            <w:tcW w:w="727" w:type="dxa"/>
          </w:tcPr>
          <w:p w14:paraId="2762A3F5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nein</w:t>
            </w:r>
          </w:p>
        </w:tc>
      </w:tr>
      <w:tr w:rsidR="007F7D51" w14:paraId="155CC9FF" w14:textId="77777777" w:rsidTr="00A87554">
        <w:trPr>
          <w:trHeight w:val="429"/>
        </w:trPr>
        <w:tc>
          <w:tcPr>
            <w:tcW w:w="7650" w:type="dxa"/>
          </w:tcPr>
          <w:p w14:paraId="2E49F557" w14:textId="77777777" w:rsidR="007F7D51" w:rsidRPr="00550887" w:rsidRDefault="007F7D51" w:rsidP="00A87554">
            <w:r>
              <w:t>III.1 Verantwortung in der Organisation des qualifikationsheterogenen Pflegeteam übernehmen</w:t>
            </w:r>
          </w:p>
        </w:tc>
        <w:tc>
          <w:tcPr>
            <w:tcW w:w="685" w:type="dxa"/>
          </w:tcPr>
          <w:p w14:paraId="6655CAAB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14:paraId="044CE794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7D51" w14:paraId="172AC23F" w14:textId="77777777" w:rsidTr="00A87554">
        <w:trPr>
          <w:trHeight w:val="429"/>
        </w:trPr>
        <w:tc>
          <w:tcPr>
            <w:tcW w:w="7650" w:type="dxa"/>
          </w:tcPr>
          <w:p w14:paraId="23BDFC14" w14:textId="77777777" w:rsidR="007F7D51" w:rsidRDefault="007F7D51" w:rsidP="00A87554">
            <w:r>
              <w:t>III.2 Ärztliche Anordnungen im Pflegekontext eigenständig durchführen</w:t>
            </w:r>
          </w:p>
        </w:tc>
        <w:tc>
          <w:tcPr>
            <w:tcW w:w="685" w:type="dxa"/>
          </w:tcPr>
          <w:p w14:paraId="4A7C46D5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14:paraId="1CB642BB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7D51" w14:paraId="5266997B" w14:textId="77777777" w:rsidTr="00A87554">
        <w:trPr>
          <w:trHeight w:val="429"/>
        </w:trPr>
        <w:tc>
          <w:tcPr>
            <w:tcW w:w="7650" w:type="dxa"/>
          </w:tcPr>
          <w:p w14:paraId="5E6ABB35" w14:textId="77777777" w:rsidR="007F7D51" w:rsidRDefault="007F7D51" w:rsidP="00A87554">
            <w:r>
              <w:t>III.3 In interdisziplinären Teams an der Versorgung und Behandlung von Menschen aller Altersstufen mitwirken und Kontinuität an Schnittstellen sichern</w:t>
            </w:r>
          </w:p>
        </w:tc>
        <w:tc>
          <w:tcPr>
            <w:tcW w:w="685" w:type="dxa"/>
          </w:tcPr>
          <w:p w14:paraId="3F9CD5AB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14:paraId="7EBDCCCC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51AE8C3" w14:textId="77777777" w:rsidR="007F7D51" w:rsidRDefault="007F7D51" w:rsidP="007F7D51">
      <w:pPr>
        <w:jc w:val="center"/>
        <w:rPr>
          <w:b/>
          <w:bCs/>
          <w:sz w:val="28"/>
          <w:szCs w:val="28"/>
        </w:rPr>
      </w:pPr>
    </w:p>
    <w:p w14:paraId="34605BF4" w14:textId="77777777" w:rsidR="007F7D51" w:rsidRDefault="007F7D51" w:rsidP="007F7D51">
      <w:pPr>
        <w:shd w:val="clear" w:color="auto" w:fill="D9D9D9" w:themeFill="background1" w:themeFillShade="D9"/>
        <w:jc w:val="center"/>
        <w:rPr>
          <w:b/>
          <w:bCs/>
          <w:sz w:val="28"/>
          <w:szCs w:val="28"/>
        </w:rPr>
      </w:pPr>
      <w:bookmarkStart w:id="0" w:name="_Hlk45550041"/>
      <w:r w:rsidRPr="00007FF8">
        <w:rPr>
          <w:b/>
          <w:bCs/>
          <w:sz w:val="28"/>
          <w:szCs w:val="28"/>
        </w:rPr>
        <w:t>Kompetenzbereich I</w:t>
      </w:r>
      <w:r>
        <w:rPr>
          <w:b/>
          <w:bCs/>
          <w:sz w:val="28"/>
          <w:szCs w:val="28"/>
        </w:rPr>
        <w:t>V</w:t>
      </w:r>
    </w:p>
    <w:p w14:paraId="6FB474AF" w14:textId="77777777" w:rsidR="007F7D51" w:rsidRPr="00B42B1B" w:rsidRDefault="007F7D51" w:rsidP="007F7D51">
      <w:pPr>
        <w:shd w:val="clear" w:color="auto" w:fill="D9D9D9" w:themeFill="background1" w:themeFillShade="D9"/>
        <w:jc w:val="center"/>
        <w:rPr>
          <w:b/>
          <w:bCs/>
          <w:sz w:val="28"/>
          <w:szCs w:val="28"/>
        </w:rPr>
      </w:pPr>
      <w:r w:rsidRPr="00B42B1B">
        <w:rPr>
          <w:b/>
          <w:bCs/>
        </w:rPr>
        <w:t>Das eigene Handeln auf der Grundlage von Gesetzen, Verordnungen und ethischen Leitlinien reflektieren und begründen.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7650"/>
        <w:gridCol w:w="685"/>
        <w:gridCol w:w="727"/>
      </w:tblGrid>
      <w:tr w:rsidR="007F7D51" w14:paraId="18C5D528" w14:textId="77777777" w:rsidTr="00A87554">
        <w:tc>
          <w:tcPr>
            <w:tcW w:w="7650" w:type="dxa"/>
          </w:tcPr>
          <w:p w14:paraId="78ED3DA1" w14:textId="77777777" w:rsidR="007F7D51" w:rsidRDefault="007F7D51" w:rsidP="00A87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5" w:type="dxa"/>
          </w:tcPr>
          <w:p w14:paraId="40624499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</w:t>
            </w:r>
          </w:p>
        </w:tc>
        <w:tc>
          <w:tcPr>
            <w:tcW w:w="727" w:type="dxa"/>
          </w:tcPr>
          <w:p w14:paraId="14EE65D8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nein</w:t>
            </w:r>
          </w:p>
        </w:tc>
      </w:tr>
      <w:tr w:rsidR="007F7D51" w14:paraId="3D2442EF" w14:textId="77777777" w:rsidTr="00A87554">
        <w:trPr>
          <w:trHeight w:val="429"/>
        </w:trPr>
        <w:tc>
          <w:tcPr>
            <w:tcW w:w="7650" w:type="dxa"/>
          </w:tcPr>
          <w:p w14:paraId="788F1028" w14:textId="77777777" w:rsidR="007F7D51" w:rsidRPr="00550887" w:rsidRDefault="007F7D51" w:rsidP="00A87554">
            <w:r>
              <w:t>IV.1 Die Qualität der pflegerischen Leistungen und der Versorgung in den verschiedenen Institutionen sicherstellen.</w:t>
            </w:r>
          </w:p>
        </w:tc>
        <w:tc>
          <w:tcPr>
            <w:tcW w:w="685" w:type="dxa"/>
          </w:tcPr>
          <w:p w14:paraId="236BCA51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14:paraId="793D3B99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7D51" w14:paraId="19CF4FE6" w14:textId="77777777" w:rsidTr="00A87554">
        <w:trPr>
          <w:trHeight w:val="429"/>
        </w:trPr>
        <w:tc>
          <w:tcPr>
            <w:tcW w:w="7650" w:type="dxa"/>
          </w:tcPr>
          <w:p w14:paraId="3328A976" w14:textId="77777777" w:rsidR="007F7D51" w:rsidRDefault="007F7D51" w:rsidP="00A87554">
            <w:r>
              <w:t>IV.2 Versorgungskontexte und Systemzusammenhänge im Pflegehandeln berücksichtigen und dabei ökonomische und ökologische Prinzipien beachten.</w:t>
            </w:r>
          </w:p>
        </w:tc>
        <w:tc>
          <w:tcPr>
            <w:tcW w:w="685" w:type="dxa"/>
          </w:tcPr>
          <w:p w14:paraId="39F9D727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14:paraId="40BFD15A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0"/>
    </w:tbl>
    <w:p w14:paraId="4138FB1A" w14:textId="77777777" w:rsidR="007F7D51" w:rsidRDefault="007F7D51" w:rsidP="007F7D51">
      <w:pPr>
        <w:jc w:val="center"/>
        <w:rPr>
          <w:b/>
          <w:bCs/>
          <w:sz w:val="28"/>
          <w:szCs w:val="28"/>
        </w:rPr>
      </w:pPr>
    </w:p>
    <w:p w14:paraId="4205F866" w14:textId="77777777" w:rsidR="007F7D51" w:rsidRDefault="007F7D51" w:rsidP="007F7D51">
      <w:pPr>
        <w:jc w:val="center"/>
        <w:rPr>
          <w:b/>
          <w:bCs/>
          <w:sz w:val="28"/>
          <w:szCs w:val="28"/>
        </w:rPr>
      </w:pPr>
    </w:p>
    <w:p w14:paraId="7A1746BB" w14:textId="77777777" w:rsidR="007F7D51" w:rsidRDefault="007F7D51" w:rsidP="007F7D51">
      <w:pPr>
        <w:shd w:val="clear" w:color="auto" w:fill="D9D9D9" w:themeFill="background1" w:themeFillShade="D9"/>
        <w:jc w:val="center"/>
        <w:rPr>
          <w:b/>
          <w:bCs/>
          <w:sz w:val="28"/>
          <w:szCs w:val="28"/>
        </w:rPr>
      </w:pPr>
      <w:r w:rsidRPr="00007FF8">
        <w:rPr>
          <w:b/>
          <w:bCs/>
          <w:sz w:val="28"/>
          <w:szCs w:val="28"/>
        </w:rPr>
        <w:t xml:space="preserve">Kompetenzbereich </w:t>
      </w:r>
      <w:r>
        <w:rPr>
          <w:b/>
          <w:bCs/>
          <w:sz w:val="28"/>
          <w:szCs w:val="28"/>
        </w:rPr>
        <w:t>V</w:t>
      </w:r>
    </w:p>
    <w:p w14:paraId="6A01606D" w14:textId="77777777" w:rsidR="007F7D51" w:rsidRPr="00B42B1B" w:rsidRDefault="007F7D51" w:rsidP="007F7D51">
      <w:pPr>
        <w:shd w:val="clear" w:color="auto" w:fill="D9D9D9" w:themeFill="background1" w:themeFillShade="D9"/>
        <w:jc w:val="center"/>
        <w:rPr>
          <w:b/>
          <w:bCs/>
          <w:sz w:val="28"/>
          <w:szCs w:val="28"/>
        </w:rPr>
      </w:pPr>
      <w:r w:rsidRPr="00B42B1B">
        <w:rPr>
          <w:b/>
          <w:bCs/>
        </w:rPr>
        <w:t>Das eigene Handeln auf der Grundlage von wissenschaftlichen Erkenntnissen und berufsethischen Werthaltungen und Einstellungen reflektieren und begründen.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7650"/>
        <w:gridCol w:w="685"/>
        <w:gridCol w:w="727"/>
      </w:tblGrid>
      <w:tr w:rsidR="007F7D51" w14:paraId="4FE0F23A" w14:textId="77777777" w:rsidTr="00A87554">
        <w:tc>
          <w:tcPr>
            <w:tcW w:w="7650" w:type="dxa"/>
          </w:tcPr>
          <w:p w14:paraId="51DD3666" w14:textId="77777777" w:rsidR="007F7D51" w:rsidRDefault="007F7D51" w:rsidP="00A87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5" w:type="dxa"/>
          </w:tcPr>
          <w:p w14:paraId="2E7CCA1C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</w:t>
            </w:r>
          </w:p>
        </w:tc>
        <w:tc>
          <w:tcPr>
            <w:tcW w:w="727" w:type="dxa"/>
          </w:tcPr>
          <w:p w14:paraId="046272F6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nein</w:t>
            </w:r>
          </w:p>
        </w:tc>
      </w:tr>
      <w:tr w:rsidR="007F7D51" w14:paraId="68AD41AE" w14:textId="77777777" w:rsidTr="00A87554">
        <w:tc>
          <w:tcPr>
            <w:tcW w:w="7650" w:type="dxa"/>
          </w:tcPr>
          <w:p w14:paraId="03B97104" w14:textId="77777777" w:rsidR="007F7D51" w:rsidRDefault="007F7D51" w:rsidP="00A87554">
            <w:pPr>
              <w:rPr>
                <w:b/>
                <w:bCs/>
                <w:sz w:val="28"/>
                <w:szCs w:val="28"/>
              </w:rPr>
            </w:pPr>
            <w:r>
              <w:t>V.1 Pflegehandeln an aktuellen wissenschaftlichen Erkenntnissen, insbesondere an pflegewissenschaftlichen Forschungsergebnissen, Theorien und Modellen ausrichten.</w:t>
            </w:r>
          </w:p>
        </w:tc>
        <w:tc>
          <w:tcPr>
            <w:tcW w:w="685" w:type="dxa"/>
          </w:tcPr>
          <w:p w14:paraId="7C31670A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14:paraId="0E4ADA81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7D51" w14:paraId="702C62E2" w14:textId="77777777" w:rsidTr="00A87554">
        <w:tc>
          <w:tcPr>
            <w:tcW w:w="7650" w:type="dxa"/>
          </w:tcPr>
          <w:p w14:paraId="59BDA09A" w14:textId="77777777" w:rsidR="007F7D51" w:rsidRDefault="007F7D51" w:rsidP="00A87554">
            <w:pPr>
              <w:rPr>
                <w:b/>
                <w:bCs/>
                <w:sz w:val="28"/>
                <w:szCs w:val="28"/>
              </w:rPr>
            </w:pPr>
            <w:r>
              <w:t>V.2 Verantwortung für die Entwicklung (lebenslanges Lernen) der eigenen Persönlichkeit sowie das berufliche Selbstverständnis übernehmen.</w:t>
            </w:r>
          </w:p>
        </w:tc>
        <w:tc>
          <w:tcPr>
            <w:tcW w:w="685" w:type="dxa"/>
          </w:tcPr>
          <w:p w14:paraId="5AC71F77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14:paraId="240F0B2C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89CEDBA" w14:textId="77777777" w:rsidR="00DF2900" w:rsidRDefault="00DF2900"/>
    <w:sectPr w:rsidR="00DF2900" w:rsidSect="007F7D51">
      <w:headerReference w:type="default" r:id="rId8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053A9" w14:textId="77777777" w:rsidR="0026197C" w:rsidRDefault="0026197C" w:rsidP="007F7D51">
      <w:pPr>
        <w:spacing w:after="0" w:line="240" w:lineRule="auto"/>
      </w:pPr>
      <w:r>
        <w:separator/>
      </w:r>
    </w:p>
  </w:endnote>
  <w:endnote w:type="continuationSeparator" w:id="0">
    <w:p w14:paraId="16FE3694" w14:textId="77777777" w:rsidR="0026197C" w:rsidRDefault="0026197C" w:rsidP="007F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B2389" w14:textId="77777777" w:rsidR="0026197C" w:rsidRDefault="0026197C" w:rsidP="007F7D51">
      <w:pPr>
        <w:spacing w:after="0" w:line="240" w:lineRule="auto"/>
      </w:pPr>
      <w:r>
        <w:separator/>
      </w:r>
    </w:p>
  </w:footnote>
  <w:footnote w:type="continuationSeparator" w:id="0">
    <w:p w14:paraId="00649660" w14:textId="77777777" w:rsidR="0026197C" w:rsidRDefault="0026197C" w:rsidP="007F7D51">
      <w:pPr>
        <w:spacing w:after="0" w:line="240" w:lineRule="auto"/>
      </w:pPr>
      <w:r>
        <w:continuationSeparator/>
      </w:r>
    </w:p>
  </w:footnote>
  <w:footnote w:id="1">
    <w:p w14:paraId="6AF7D924" w14:textId="2DF23E96" w:rsidR="00402236" w:rsidRDefault="00402236">
      <w:pPr>
        <w:pStyle w:val="Funotentext"/>
      </w:pPr>
      <w:r>
        <w:rPr>
          <w:rStyle w:val="Funotenzeichen"/>
        </w:rPr>
        <w:footnoteRef/>
      </w:r>
      <w:r>
        <w:t xml:space="preserve"> vgl. </w:t>
      </w:r>
      <w:hyperlink r:id="rId1" w:history="1">
        <w:r w:rsidRPr="00AF576A">
          <w:rPr>
            <w:rStyle w:val="Hyperlink"/>
          </w:rPr>
          <w:t>https://www.bibb.de/dokumente/pdf/geschst_pflgb_rahmenplaene-der-fachkommission.pdf</w:t>
        </w:r>
      </w:hyperlink>
      <w:r>
        <w:t xml:space="preserve">, Zugriff </w:t>
      </w:r>
      <w:r w:rsidR="00975425">
        <w:t xml:space="preserve">November </w:t>
      </w:r>
      <w:r>
        <w:t>2020</w:t>
      </w:r>
    </w:p>
  </w:footnote>
  <w:footnote w:id="2">
    <w:p w14:paraId="3BA70215" w14:textId="77777777" w:rsidR="007F7D51" w:rsidRDefault="007F7D51" w:rsidP="007F7D51">
      <w:pPr>
        <w:pStyle w:val="Funotentext"/>
      </w:pPr>
      <w:r>
        <w:rPr>
          <w:rStyle w:val="Funotenzeichen"/>
        </w:rPr>
        <w:footnoteRef/>
      </w:r>
      <w:r>
        <w:t xml:space="preserve"> vgl. </w:t>
      </w:r>
      <w:hyperlink r:id="rId2" w:history="1">
        <w:r w:rsidRPr="00AF576A">
          <w:rPr>
            <w:rStyle w:val="Hyperlink"/>
          </w:rPr>
          <w:t>https://www.bibb.de/dokumente/pdf/geschst_pflgb_rahmenplaene-der-fachkommission.pdf</w:t>
        </w:r>
      </w:hyperlink>
      <w:r>
        <w:t>, Zugriff 09.07.2020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47572" w14:textId="050CBFD9" w:rsidR="007F7D51" w:rsidRDefault="007F7D51">
    <w:pPr>
      <w:pStyle w:val="Kopfzeile"/>
    </w:pPr>
    <w:r>
      <w:t>Betrieb:</w:t>
    </w:r>
    <w:r>
      <w:ptab w:relativeTo="margin" w:alignment="center" w:leader="none"/>
    </w:r>
    <w:r>
      <w:t>1. Ausbildungsdrittel</w:t>
    </w:r>
    <w:r w:rsidR="005C305A">
      <w:t>:</w:t>
    </w:r>
    <w:r>
      <w:ptab w:relativeTo="margin" w:alignment="right" w:leader="none"/>
    </w:r>
    <w:r w:rsidR="005C305A">
      <w:t>Orientierungseinsatz / Pflichteinsatz</w:t>
    </w:r>
  </w:p>
  <w:p w14:paraId="5528898C" w14:textId="0D4BF0CE" w:rsidR="00017770" w:rsidRDefault="00017770" w:rsidP="00017770">
    <w:pPr>
      <w:pStyle w:val="Kopfzeile"/>
      <w:jc w:val="center"/>
    </w:pPr>
    <w:r>
      <w:t>Erstellt von: AHD Jesteburg, November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C0DAC"/>
    <w:multiLevelType w:val="hybridMultilevel"/>
    <w:tmpl w:val="598A8F3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806F9"/>
    <w:multiLevelType w:val="hybridMultilevel"/>
    <w:tmpl w:val="7C0E8846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AB499B"/>
    <w:multiLevelType w:val="hybridMultilevel"/>
    <w:tmpl w:val="1C0A1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E5988"/>
    <w:multiLevelType w:val="hybridMultilevel"/>
    <w:tmpl w:val="051A2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7644F"/>
    <w:multiLevelType w:val="hybridMultilevel"/>
    <w:tmpl w:val="C804F3D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5234BCD"/>
    <w:multiLevelType w:val="hybridMultilevel"/>
    <w:tmpl w:val="D8C0FC2E"/>
    <w:lvl w:ilvl="0" w:tplc="0407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453537F1"/>
    <w:multiLevelType w:val="hybridMultilevel"/>
    <w:tmpl w:val="D1FADED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DD7856"/>
    <w:multiLevelType w:val="hybridMultilevel"/>
    <w:tmpl w:val="8A4E489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C41862"/>
    <w:multiLevelType w:val="hybridMultilevel"/>
    <w:tmpl w:val="14069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C6DC9"/>
    <w:multiLevelType w:val="hybridMultilevel"/>
    <w:tmpl w:val="AFE80220"/>
    <w:lvl w:ilvl="0" w:tplc="CA70E5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315AA"/>
    <w:multiLevelType w:val="hybridMultilevel"/>
    <w:tmpl w:val="7FB6FCF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32DC5"/>
    <w:multiLevelType w:val="hybridMultilevel"/>
    <w:tmpl w:val="549EC59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76986"/>
    <w:multiLevelType w:val="hybridMultilevel"/>
    <w:tmpl w:val="40B488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15F33"/>
    <w:multiLevelType w:val="hybridMultilevel"/>
    <w:tmpl w:val="1A76673E"/>
    <w:lvl w:ilvl="0" w:tplc="04070001">
      <w:start w:val="1"/>
      <w:numFmt w:val="bullet"/>
      <w:lvlText w:val=""/>
      <w:lvlJc w:val="left"/>
      <w:pPr>
        <w:ind w:left="1095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51"/>
    <w:rsid w:val="0001163E"/>
    <w:rsid w:val="00017770"/>
    <w:rsid w:val="00131A82"/>
    <w:rsid w:val="001B036B"/>
    <w:rsid w:val="001D08A6"/>
    <w:rsid w:val="0026197C"/>
    <w:rsid w:val="00340A40"/>
    <w:rsid w:val="00402236"/>
    <w:rsid w:val="005C305A"/>
    <w:rsid w:val="0060514B"/>
    <w:rsid w:val="00662FAA"/>
    <w:rsid w:val="00686AAE"/>
    <w:rsid w:val="00736D39"/>
    <w:rsid w:val="007578F3"/>
    <w:rsid w:val="007B3C1D"/>
    <w:rsid w:val="007D0124"/>
    <w:rsid w:val="007F7D51"/>
    <w:rsid w:val="008F661E"/>
    <w:rsid w:val="00901E5D"/>
    <w:rsid w:val="00906477"/>
    <w:rsid w:val="00944E22"/>
    <w:rsid w:val="00975425"/>
    <w:rsid w:val="009D697F"/>
    <w:rsid w:val="00AA321A"/>
    <w:rsid w:val="00AF6DDC"/>
    <w:rsid w:val="00B633CF"/>
    <w:rsid w:val="00BA6DD3"/>
    <w:rsid w:val="00BA6ED1"/>
    <w:rsid w:val="00BB430F"/>
    <w:rsid w:val="00C31C66"/>
    <w:rsid w:val="00C81CC7"/>
    <w:rsid w:val="00D67D2D"/>
    <w:rsid w:val="00DA5DA9"/>
    <w:rsid w:val="00DB4368"/>
    <w:rsid w:val="00DF2900"/>
    <w:rsid w:val="00E5624E"/>
    <w:rsid w:val="00E94790"/>
    <w:rsid w:val="00EA4BA0"/>
    <w:rsid w:val="00EB6B36"/>
    <w:rsid w:val="00EC52B8"/>
    <w:rsid w:val="00F134F1"/>
    <w:rsid w:val="00F6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798E"/>
  <w15:chartTrackingRefBased/>
  <w15:docId w15:val="{AC85B62A-FEF0-4EF6-8BC2-DFA01A36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7D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F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7D5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F7D5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7D5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F7D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7F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F7D5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F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7D51"/>
  </w:style>
  <w:style w:type="paragraph" w:styleId="Fuzeile">
    <w:name w:val="footer"/>
    <w:basedOn w:val="Standard"/>
    <w:link w:val="FuzeileZchn"/>
    <w:uiPriority w:val="99"/>
    <w:unhideWhenUsed/>
    <w:rsid w:val="007F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7D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4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ibb.de/dokumente/pdf/geschst_pflgb_rahmenplaene-der-fachkommission.pdf" TargetMode="External"/><Relationship Id="rId1" Type="http://schemas.openxmlformats.org/officeDocument/2006/relationships/hyperlink" Target="https://www.bibb.de/dokumente/pdf/geschst_pflgb_rahmenplaene-der-fachkommission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60C12-510C-48F5-8CEB-B6522D1D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Lorenschat</dc:creator>
  <cp:keywords/>
  <dc:description/>
  <cp:lastModifiedBy>Astrid Lorenschat</cp:lastModifiedBy>
  <cp:revision>6</cp:revision>
  <cp:lastPrinted>2020-09-23T09:28:00Z</cp:lastPrinted>
  <dcterms:created xsi:type="dcterms:W3CDTF">2020-11-27T10:01:00Z</dcterms:created>
  <dcterms:modified xsi:type="dcterms:W3CDTF">2020-11-27T10:49:00Z</dcterms:modified>
</cp:coreProperties>
</file>